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38463494" w:rsidR="00E1540B" w:rsidRPr="0017528F" w:rsidRDefault="00E1540B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471F67EB" w:rsidR="00E1540B" w:rsidRPr="00FB4084" w:rsidRDefault="00BD7F8F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Centre Policy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26A7D52E" w:rsidR="00E1540B" w:rsidRPr="0017528F" w:rsidRDefault="00E1540B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A/AS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D29C1F6" id="Group 119" o:spid="_x0000_s1026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Duq80MxwMAALQOAAAOAAAAAAAAAAAA&#10;AAAAAC4CAABkcnMvZTJvRG9jLnhtbFBLAQItABQABgAIAAAAIQCWhRup3QAAAAcBAAAPAAAAAAAA&#10;AAAAAAAAACEGAABkcnMvZG93bnJldi54bWxQSwUGAAAAAAQABADzAAAAKwcAAAAA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38463494" w:rsidR="00E1540B" w:rsidRPr="0017528F" w:rsidRDefault="00E1540B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450CBB2" w14:textId="471F67EB" w:rsidR="00E1540B" w:rsidRPr="00FB4084" w:rsidRDefault="00BD7F8F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Centre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0AA3468E" w14:textId="26A7D52E" w:rsidR="00E1540B" w:rsidRPr="0017528F" w:rsidRDefault="00E1540B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A/AS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1"/>
              <w:footerReference w:type="default" r:id="rId12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6293791A" w14:textId="5C4569FB" w:rsidR="001D0E3B" w:rsidRDefault="008427E5" w:rsidP="009F5118">
          <w:pPr>
            <w:pStyle w:val="Heading1"/>
          </w:pPr>
          <w:bookmarkStart w:id="1" w:name="_ANNEX_2:_Worked"/>
          <w:bookmarkEnd w:id="1"/>
          <w:r w:rsidRPr="008427E5">
            <w:lastRenderedPageBreak/>
            <w:t xml:space="preserve">Centre Policy for </w:t>
          </w:r>
          <w:r w:rsidR="00B918D5">
            <w:t>determining</w:t>
          </w:r>
          <w:r w:rsidRPr="008427E5">
            <w:t xml:space="preserve"> </w:t>
          </w:r>
          <w:r w:rsidR="006036DF">
            <w:t xml:space="preserve">teacher assessed </w:t>
          </w:r>
          <w:r w:rsidRPr="008427E5">
            <w:t>grades</w:t>
          </w:r>
          <w:r w:rsidR="004D3BEC">
            <w:t xml:space="preserve"> in Summer 2021</w:t>
          </w:r>
        </w:p>
        <w:p w14:paraId="1C5EA174" w14:textId="77777777" w:rsidR="00906D09" w:rsidRDefault="00906D09" w:rsidP="00906D09">
          <w:pPr>
            <w:pStyle w:val="Heading2"/>
          </w:pPr>
          <w:r w:rsidRPr="0A7234CF">
            <w:t xml:space="preserve">Background </w:t>
          </w:r>
        </w:p>
        <w:p w14:paraId="2BDF9647" w14:textId="0E7C685A" w:rsidR="00B918D5" w:rsidRDefault="0010269E" w:rsidP="00B918D5">
          <w:pPr>
            <w:pStyle w:val="StdPara"/>
          </w:pPr>
          <w:r>
            <w:t>Every centre is</w:t>
          </w:r>
          <w:r w:rsidR="00D729B2">
            <w:t xml:space="preserve"> required to </w:t>
          </w:r>
          <w:r w:rsidR="00D729B2" w:rsidRPr="00D729B2">
            <w:t>create a Centre Policy</w:t>
          </w:r>
          <w:r w:rsidR="00D729B2">
            <w:t xml:space="preserve"> that reflects its </w:t>
          </w:r>
          <w:r w:rsidR="00D30C9A">
            <w:t xml:space="preserve">individual </w:t>
          </w:r>
          <w:r w:rsidR="00D729B2">
            <w:t xml:space="preserve">circumstances. </w:t>
          </w:r>
        </w:p>
        <w:p w14:paraId="2AB1A9D3" w14:textId="740C4A66" w:rsidR="00EA4C6B" w:rsidRPr="00C65276" w:rsidRDefault="00EA4C6B" w:rsidP="00C65276">
          <w:pPr>
            <w:spacing w:line="259" w:lineRule="auto"/>
            <w:rPr>
              <w:rFonts w:eastAsia="Calibri" w:cs="Calibri"/>
              <w:color w:val="000000" w:themeColor="text1"/>
            </w:rPr>
          </w:pPr>
          <w:r>
            <w:br w:type="page"/>
          </w:r>
        </w:p>
        <w:p w14:paraId="7CCCE043" w14:textId="05B918D2" w:rsidR="00EA4C6B" w:rsidRDefault="007E069F" w:rsidP="00C65276">
          <w:pPr>
            <w:pStyle w:val="Heading1"/>
          </w:pPr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E1540B">
            <w:t>Bluebell School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6E236FA5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0B69F86A" w14:textId="7777777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6E0621CA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16744">
                  <w:rPr>
                    <w:rFonts w:eastAsia="Calibri" w:cs="Calibri"/>
                    <w:i/>
                    <w:iCs/>
                    <w:color w:val="000000" w:themeColor="text1"/>
                  </w:rPr>
                  <w:t>Craig Barker</w:t>
                </w:r>
                <w:r w:rsidR="00092E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6ABD4195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A16744">
                  <w:rPr>
                    <w:rFonts w:eastAsia="Calibri" w:cs="Calibri"/>
                    <w:i/>
                    <w:iCs/>
                    <w:color w:val="000000" w:themeColor="text1"/>
                  </w:rPr>
                  <w:t>school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10082CB2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E52794F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682F7B5B" w14:textId="12DC7F73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73BA1B0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71121810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records of a student’s capability and performance over the course of study in performance-based subjects such as music, drama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lastRenderedPageBreak/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5BF3B7B9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</w:t>
                </w:r>
                <w:r w:rsidR="00EF5CD2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Centre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6DE5E36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281FE788" w:rsidR="009258F9" w:rsidRDefault="00064056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will be </w:t>
                </w:r>
                <w:r w:rsidR="00975C56">
                  <w:rPr>
                    <w:rFonts w:eastAsia="Calibri"/>
                    <w:i/>
                    <w:iCs/>
                  </w:rPr>
                  <w:t>Kay Banks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66C39DB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2419CCBC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3EF4AE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5AE8CB10" w14:textId="77777777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include grades from international GCSEs (for example, in mathematics) because we have previously offered these. 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6BEA4E1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D2C4DCA" w14:textId="67E289E9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3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3BA14EC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2F972223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3FCE11D4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hidden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2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2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336DC840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which will include </w:t>
                </w:r>
                <w:r w:rsidR="00211212">
                  <w:rPr>
                    <w:rFonts w:eastAsia="Calibri"/>
                    <w:i/>
                    <w:iCs/>
                    <w:color w:val="000000" w:themeColor="text1"/>
                  </w:rPr>
                  <w:t>moderation and invigilation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</w:p>
              <w:p w14:paraId="5C3520B1" w14:textId="6DBCBBA5" w:rsidR="009258F9" w:rsidRDefault="009258F9" w:rsidP="00840C51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840C51">
                  <w:rPr>
                    <w:rFonts w:eastAsia="Calibri"/>
                    <w:i/>
                    <w:iCs/>
                    <w:color w:val="000000" w:themeColor="text1"/>
                  </w:rPr>
                  <w:t>AQA, Pearson and Cambridge Nationals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3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4" w:name="_Hlk67140390"/>
          <w:bookmarkEnd w:id="3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44E340EA" w14:textId="3053B9DC" w:rsidR="009258F9" w:rsidRPr="00E20FE2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4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096B4294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4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773E2E4A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5C33F098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</w:t>
                </w:r>
                <w:r w:rsidR="00C76390"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all staff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5BD5563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</w:t>
                </w:r>
                <w:r w:rsidR="00C76390">
                  <w:rPr>
                    <w:rFonts w:eastAsia="Calibri" w:cs="Calibri"/>
                    <w:i/>
                    <w:iCs/>
                    <w:color w:val="231F20"/>
                  </w:rPr>
                  <w:t xml:space="preserve">Centre </w:t>
                </w:r>
                <w:r w:rsidR="00C76390" w:rsidRPr="003B3578">
                  <w:rPr>
                    <w:rFonts w:eastAsia="Calibri" w:cs="Calibri"/>
                    <w:i/>
                    <w:iCs/>
                    <w:color w:val="231F20"/>
                  </w:rPr>
                  <w:t>will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5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5C77403" w14:textId="3FD9AFA4" w:rsidR="009258F9" w:rsidRDefault="009258F9" w:rsidP="009258F9">
          <w:r>
            <w:br w:type="page"/>
          </w:r>
        </w:p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6E46F63" w14:textId="77777777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0517E48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proofErr w:type="gramStart"/>
                <w:r w:rsidRPr="003B3578">
                  <w:rPr>
                    <w:rFonts w:eastAsia="Calibri"/>
                    <w:i/>
                    <w:iCs/>
                  </w:rPr>
                  <w:t>All  staff</w:t>
                </w:r>
                <w:proofErr w:type="gramEnd"/>
                <w:r w:rsidRPr="003B3578">
                  <w:rPr>
                    <w:rFonts w:eastAsia="Calibri"/>
                    <w:i/>
                    <w:iCs/>
                  </w:rPr>
                  <w:t xml:space="preserve">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BF78F16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741A0FF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</w:t>
                </w:r>
                <w:r w:rsidR="0045067C">
                  <w:rPr>
                    <w:rFonts w:eastAsia="Calibri" w:cstheme="minorHAnsi"/>
                    <w:bCs/>
                    <w:i/>
                    <w:iCs/>
                  </w:rPr>
                  <w:t>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9C097A" w:rsidP="00803CEB">
          <w:pPr>
            <w:pStyle w:val="StdPara"/>
          </w:pPr>
        </w:p>
      </w:sdtContent>
    </w:sdt>
    <w:p w14:paraId="66CD1E5A" w14:textId="33AEAE3A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</w:p>
    <w:sectPr w:rsidR="00E77FAC" w:rsidSect="008E75C6">
      <w:headerReference w:type="default" r:id="rId16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C3C6A" w14:textId="77777777" w:rsidR="009C097A" w:rsidRDefault="009C097A" w:rsidP="00454767">
      <w:r>
        <w:separator/>
      </w:r>
    </w:p>
  </w:endnote>
  <w:endnote w:type="continuationSeparator" w:id="0">
    <w:p w14:paraId="7230B453" w14:textId="77777777" w:rsidR="009C097A" w:rsidRDefault="009C097A" w:rsidP="00454767">
      <w:r>
        <w:continuationSeparator/>
      </w:r>
    </w:p>
  </w:endnote>
  <w:endnote w:type="continuationNotice" w:id="1">
    <w:p w14:paraId="231978CF" w14:textId="77777777" w:rsidR="009C097A" w:rsidRDefault="009C0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61728E93" w:rsidR="00E1540B" w:rsidRPr="004D2770" w:rsidRDefault="00E1540B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="00216906">
          <w:rPr>
            <w:noProof/>
            <w:color w:val="5B5834"/>
          </w:rPr>
          <w:t>1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83BF" w14:textId="77777777" w:rsidR="009C097A" w:rsidRDefault="009C097A" w:rsidP="00454767">
      <w:r>
        <w:separator/>
      </w:r>
    </w:p>
  </w:footnote>
  <w:footnote w:type="continuationSeparator" w:id="0">
    <w:p w14:paraId="6C200A34" w14:textId="77777777" w:rsidR="009C097A" w:rsidRDefault="009C097A" w:rsidP="00454767">
      <w:r>
        <w:continuationSeparator/>
      </w:r>
    </w:p>
  </w:footnote>
  <w:footnote w:type="continuationNotice" w:id="1">
    <w:p w14:paraId="09B48A32" w14:textId="77777777" w:rsidR="009C097A" w:rsidRDefault="009C09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2D23" w14:textId="4AE0D613" w:rsidR="00E1540B" w:rsidRPr="004B596B" w:rsidRDefault="00E1540B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E1540B" w:rsidRPr="00B3673F" w:rsidRDefault="00E1540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2021-03-18 JCQ Guidance - Template Centre Policy.docx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D1C7" w14:textId="62513330" w:rsidR="00E1540B" w:rsidRPr="004B596B" w:rsidRDefault="00E1540B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5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60259B1E" w:rsidR="00E1540B" w:rsidRPr="00B3673F" w:rsidRDefault="00E1540B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36"/>
  </w:num>
  <w:num w:numId="7">
    <w:abstractNumId w:val="21"/>
  </w:num>
  <w:num w:numId="8">
    <w:abstractNumId w:val="25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4"/>
  </w:num>
  <w:num w:numId="14">
    <w:abstractNumId w:val="31"/>
  </w:num>
  <w:num w:numId="15">
    <w:abstractNumId w:val="26"/>
  </w:num>
  <w:num w:numId="16">
    <w:abstractNumId w:val="22"/>
  </w:num>
  <w:num w:numId="17">
    <w:abstractNumId w:val="18"/>
  </w:num>
  <w:num w:numId="18">
    <w:abstractNumId w:val="7"/>
  </w:num>
  <w:num w:numId="19">
    <w:abstractNumId w:val="34"/>
  </w:num>
  <w:num w:numId="20">
    <w:abstractNumId w:val="2"/>
  </w:num>
  <w:num w:numId="21">
    <w:abstractNumId w:val="17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35"/>
  </w:num>
  <w:num w:numId="27">
    <w:abstractNumId w:val="27"/>
  </w:num>
  <w:num w:numId="28">
    <w:abstractNumId w:val="16"/>
  </w:num>
  <w:num w:numId="29">
    <w:abstractNumId w:val="13"/>
  </w:num>
  <w:num w:numId="30">
    <w:abstractNumId w:val="12"/>
  </w:num>
  <w:num w:numId="31">
    <w:abstractNumId w:val="8"/>
  </w:num>
  <w:num w:numId="32">
    <w:abstractNumId w:val="29"/>
  </w:num>
  <w:num w:numId="33">
    <w:abstractNumId w:val="23"/>
  </w:num>
  <w:num w:numId="34">
    <w:abstractNumId w:val="3"/>
  </w:num>
  <w:num w:numId="35">
    <w:abstractNumId w:val="28"/>
  </w:num>
  <w:num w:numId="36">
    <w:abstractNumId w:val="32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92E3F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A9A"/>
    <w:rsid w:val="00113ED3"/>
    <w:rsid w:val="0011470E"/>
    <w:rsid w:val="00122492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1212"/>
    <w:rsid w:val="00213DD1"/>
    <w:rsid w:val="002166C1"/>
    <w:rsid w:val="00216906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12A4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067C"/>
    <w:rsid w:val="00454767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535B3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C58C9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0C51"/>
    <w:rsid w:val="008427E5"/>
    <w:rsid w:val="00843446"/>
    <w:rsid w:val="00844B6B"/>
    <w:rsid w:val="00845D0A"/>
    <w:rsid w:val="008463E8"/>
    <w:rsid w:val="0085281C"/>
    <w:rsid w:val="00852C79"/>
    <w:rsid w:val="00870758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5C56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097A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11ED"/>
    <w:rsid w:val="00A16744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D7F8F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76390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540B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12B1"/>
    <w:rsid w:val="00EF137C"/>
    <w:rsid w:val="00EF5CD2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q.org.uk/wp-content/uploads/2020/08/A-guide-to-the-spec-con-process-202021-Website-vers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cq.org.uk/wp-content/uploads/2020/09/Gen_regs_approved_centres_20-21_FINAL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exams-office/malpractice/jcq-suspected-malpractice-policies-and-procedures-2019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7207CE-B193-44C0-8542-F031E61C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</vt:lpstr>
    </vt:vector>
  </TitlesOfParts>
  <Company/>
  <LinksUpToDate>false</LinksUpToDate>
  <CharactersWithSpaces>27606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Policy</dc:title>
  <dc:subject>for A/AS Levels and GCSEs for summer 2021</dc:subject>
  <dc:creator>Philip Wright</dc:creator>
  <cp:keywords/>
  <dc:description/>
  <cp:lastModifiedBy>Staff</cp:lastModifiedBy>
  <cp:revision>2</cp:revision>
  <dcterms:created xsi:type="dcterms:W3CDTF">2021-04-30T08:55:00Z</dcterms:created>
  <dcterms:modified xsi:type="dcterms:W3CDTF">2021-04-30T08:55:00Z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